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57" w:rsidRDefault="00875057" w:rsidP="004750E3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875057" w:rsidRDefault="00875057" w:rsidP="008A74FA">
      <w:pPr>
        <w:pStyle w:val="Caption"/>
        <w:rPr>
          <w:sz w:val="28"/>
          <w:szCs w:val="28"/>
        </w:rPr>
      </w:pPr>
      <w:r w:rsidRPr="0078529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>
            <v:imagedata r:id="rId7" o:title=""/>
          </v:shape>
        </w:pict>
      </w:r>
    </w:p>
    <w:p w:rsidR="00875057" w:rsidRDefault="00875057" w:rsidP="008A74FA">
      <w:pPr>
        <w:pStyle w:val="Caption"/>
        <w:tabs>
          <w:tab w:val="left" w:pos="7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5057" w:rsidRDefault="00875057" w:rsidP="008A74FA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875057" w:rsidRDefault="00875057" w:rsidP="008A74FA">
      <w:pPr>
        <w:pStyle w:val="Caption"/>
        <w:rPr>
          <w:sz w:val="28"/>
          <w:szCs w:val="28"/>
        </w:rPr>
      </w:pPr>
      <w:r>
        <w:rPr>
          <w:sz w:val="28"/>
          <w:szCs w:val="28"/>
        </w:rPr>
        <w:t>Некрасовского сельского поселения</w:t>
      </w:r>
    </w:p>
    <w:p w:rsidR="00875057" w:rsidRDefault="00875057" w:rsidP="008A74FA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875057" w:rsidRDefault="00875057" w:rsidP="008A74FA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75057" w:rsidRDefault="00875057" w:rsidP="008A74FA">
      <w:pPr>
        <w:ind w:left="360"/>
        <w:rPr>
          <w:sz w:val="28"/>
        </w:rPr>
      </w:pPr>
    </w:p>
    <w:p w:rsidR="00875057" w:rsidRDefault="00875057" w:rsidP="008A74FA">
      <w:pPr>
        <w:ind w:left="360"/>
        <w:rPr>
          <w:sz w:val="28"/>
        </w:rPr>
      </w:pPr>
      <w:r>
        <w:rPr>
          <w:sz w:val="28"/>
        </w:rPr>
        <w:t xml:space="preserve">20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>.                                                                                      №  5</w:t>
      </w:r>
    </w:p>
    <w:p w:rsidR="00875057" w:rsidRDefault="00875057" w:rsidP="008A74FA">
      <w:pPr>
        <w:ind w:left="360"/>
        <w:rPr>
          <w:sz w:val="28"/>
        </w:rPr>
      </w:pPr>
      <w:r>
        <w:rPr>
          <w:sz w:val="28"/>
        </w:rPr>
        <w:t>ст. Некрасовская                                                                      Протокол №  28</w:t>
      </w:r>
    </w:p>
    <w:p w:rsidR="00875057" w:rsidRDefault="00875057" w:rsidP="004750E3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875057" w:rsidRPr="0004160B" w:rsidRDefault="00875057" w:rsidP="004750E3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875057" w:rsidRPr="0004160B" w:rsidRDefault="00875057" w:rsidP="007A34B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Некрасовского сельского поселения Усть - Лабинского района</w:t>
      </w:r>
    </w:p>
    <w:p w:rsidR="00875057" w:rsidRDefault="00875057" w:rsidP="00615F93">
      <w:pPr>
        <w:rPr>
          <w:b/>
          <w:sz w:val="28"/>
          <w:szCs w:val="28"/>
        </w:rPr>
      </w:pPr>
    </w:p>
    <w:p w:rsidR="00875057" w:rsidRPr="0004160B" w:rsidRDefault="00875057" w:rsidP="00615F93">
      <w:pPr>
        <w:rPr>
          <w:b/>
          <w:sz w:val="28"/>
          <w:szCs w:val="28"/>
        </w:rPr>
      </w:pPr>
    </w:p>
    <w:p w:rsidR="00875057" w:rsidRDefault="00875057" w:rsidP="009B7537">
      <w:pPr>
        <w:pStyle w:val="Heading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04160B">
        <w:rPr>
          <w:szCs w:val="28"/>
        </w:rPr>
        <w:t>Федеральн</w:t>
      </w:r>
      <w:r>
        <w:rPr>
          <w:szCs w:val="28"/>
        </w:rPr>
        <w:t>ым</w:t>
      </w:r>
      <w:r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Pr="0004160B">
        <w:rPr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главой 32 Налогового</w:t>
      </w:r>
      <w:r w:rsidRPr="0004160B">
        <w:rPr>
          <w:szCs w:val="28"/>
        </w:rPr>
        <w:t xml:space="preserve"> кодекс</w:t>
      </w:r>
      <w:r>
        <w:rPr>
          <w:szCs w:val="28"/>
        </w:rPr>
        <w:t>а</w:t>
      </w:r>
      <w:r w:rsidRPr="0004160B">
        <w:rPr>
          <w:szCs w:val="28"/>
        </w:rPr>
        <w:t xml:space="preserve"> Российской Федерации</w:t>
      </w:r>
      <w:r>
        <w:rPr>
          <w:szCs w:val="28"/>
        </w:rPr>
        <w:t xml:space="preserve">, </w:t>
      </w:r>
      <w:r w:rsidRPr="005B6AD9">
        <w:rPr>
          <w:szCs w:val="28"/>
        </w:rPr>
        <w:t>Закон</w:t>
      </w:r>
      <w:r>
        <w:rPr>
          <w:szCs w:val="28"/>
        </w:rPr>
        <w:t>ом</w:t>
      </w:r>
      <w:r w:rsidRPr="005B6AD9">
        <w:rPr>
          <w:szCs w:val="28"/>
        </w:rPr>
        <w:t xml:space="preserve"> Краснодарского края от 26</w:t>
      </w:r>
      <w:r>
        <w:rPr>
          <w:szCs w:val="28"/>
        </w:rPr>
        <w:t xml:space="preserve"> ноября </w:t>
      </w:r>
      <w:r w:rsidRPr="005B6AD9">
        <w:rPr>
          <w:szCs w:val="28"/>
        </w:rPr>
        <w:t xml:space="preserve">2003 </w:t>
      </w:r>
      <w:r>
        <w:rPr>
          <w:szCs w:val="28"/>
        </w:rPr>
        <w:t xml:space="preserve">года № </w:t>
      </w:r>
      <w:r w:rsidRPr="005B6AD9">
        <w:rPr>
          <w:szCs w:val="28"/>
        </w:rPr>
        <w:t>620-КЗ</w:t>
      </w:r>
      <w:r>
        <w:rPr>
          <w:szCs w:val="28"/>
        </w:rPr>
        <w:t xml:space="preserve"> «</w:t>
      </w:r>
      <w:r w:rsidRPr="005B6AD9">
        <w:rPr>
          <w:szCs w:val="28"/>
        </w:rPr>
        <w:t>О налоге на имущество организаций</w:t>
      </w:r>
      <w:r>
        <w:rPr>
          <w:szCs w:val="28"/>
        </w:rPr>
        <w:t xml:space="preserve">» (в редакции от 29 апреля 2016 года № 3388-КЗ), </w:t>
      </w:r>
      <w:r w:rsidRPr="000E0D2D">
        <w:rPr>
          <w:szCs w:val="28"/>
        </w:rPr>
        <w:t>Закон</w:t>
      </w:r>
      <w:r>
        <w:rPr>
          <w:szCs w:val="28"/>
        </w:rPr>
        <w:t xml:space="preserve">ом Краснодарского края от </w:t>
      </w:r>
      <w:r w:rsidRPr="000E0D2D">
        <w:rPr>
          <w:szCs w:val="28"/>
        </w:rPr>
        <w:t>4</w:t>
      </w:r>
      <w:r>
        <w:rPr>
          <w:szCs w:val="28"/>
        </w:rPr>
        <w:t xml:space="preserve"> апреля </w:t>
      </w:r>
      <w:r w:rsidRPr="000E0D2D">
        <w:rPr>
          <w:szCs w:val="28"/>
        </w:rPr>
        <w:t>2016</w:t>
      </w:r>
      <w:r>
        <w:rPr>
          <w:szCs w:val="28"/>
        </w:rPr>
        <w:t xml:space="preserve"> года №</w:t>
      </w:r>
      <w:r w:rsidRPr="000E0D2D">
        <w:rPr>
          <w:szCs w:val="28"/>
        </w:rPr>
        <w:t xml:space="preserve"> 3368-КЗ</w:t>
      </w:r>
      <w:r>
        <w:rPr>
          <w:szCs w:val="28"/>
        </w:rPr>
        <w:t xml:space="preserve"> «</w:t>
      </w:r>
      <w:r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szCs w:val="28"/>
        </w:rPr>
        <w:t>», Законом Краснодарского края от 22 февраля 2005 года № 836-КЗ «О социальной поддержке многодетных семей в Краснодарском крае», Совет Некрасовского сельского</w:t>
      </w:r>
      <w:r w:rsidRPr="0004160B">
        <w:rPr>
          <w:szCs w:val="28"/>
        </w:rPr>
        <w:t xml:space="preserve"> поселения </w:t>
      </w:r>
      <w:r>
        <w:rPr>
          <w:szCs w:val="28"/>
        </w:rPr>
        <w:t>Усть - Лабинского</w:t>
      </w:r>
      <w:r w:rsidRPr="0004160B">
        <w:rPr>
          <w:szCs w:val="28"/>
        </w:rPr>
        <w:t xml:space="preserve"> района</w:t>
      </w:r>
      <w:r>
        <w:rPr>
          <w:szCs w:val="28"/>
        </w:rPr>
        <w:t xml:space="preserve">, </w:t>
      </w:r>
      <w:r w:rsidRPr="0004160B">
        <w:rPr>
          <w:szCs w:val="28"/>
        </w:rPr>
        <w:t>решил:</w:t>
      </w:r>
    </w:p>
    <w:p w:rsidR="00875057" w:rsidRDefault="00875057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.Установить и ввести на территории Некрасовского сельского поселения Усть - Лабинского района налог на имущество физических лиц, исходя из кадастровой стоимости объектов налогообложения.</w:t>
      </w:r>
    </w:p>
    <w:p w:rsidR="00875057" w:rsidRDefault="00875057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51CA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</w:t>
      </w:r>
      <w:r>
        <w:rPr>
          <w:sz w:val="28"/>
          <w:szCs w:val="28"/>
        </w:rPr>
        <w:t xml:space="preserve"> статьей 403 Налогового кодекса РФ.</w:t>
      </w:r>
    </w:p>
    <w:p w:rsidR="00875057" w:rsidRDefault="00875057" w:rsidP="009B75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3.Установить налоговые ставки в следующих размерах исходя из кадастровой стоимости объектов налогообложения: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559"/>
      </w:tblGrid>
      <w:tr w:rsidR="00875057" w:rsidRPr="00D43AB6" w:rsidTr="002B765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5057" w:rsidRDefault="00875057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  <w:p w:rsidR="00875057" w:rsidRPr="00D43AB6" w:rsidRDefault="00875057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057" w:rsidRPr="00D43AB6" w:rsidRDefault="00875057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="Times New Roman"/>
                <w:szCs w:val="28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Налоговая ставка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%</w:t>
            </w:r>
          </w:p>
        </w:tc>
      </w:tr>
      <w:tr w:rsidR="00875057" w:rsidRPr="00D43AB6" w:rsidTr="002B765B">
        <w:trPr>
          <w:trHeight w:val="34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057" w:rsidRDefault="00875057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57" w:rsidRPr="00D43AB6" w:rsidRDefault="00875057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75057" w:rsidRPr="00D43AB6" w:rsidRDefault="00875057" w:rsidP="002B765B">
            <w:pPr>
              <w:tabs>
                <w:tab w:val="left" w:pos="932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  <w:tr w:rsidR="00875057" w:rsidRPr="00D43AB6" w:rsidTr="00004FE2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D43AB6" w:rsidRDefault="00875057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Ж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илые дома, жилы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е помещения (квартира, комната)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en-US"/>
              </w:rPr>
            </w:pPr>
          </w:p>
          <w:p w:rsidR="00875057" w:rsidRPr="00D43AB6" w:rsidRDefault="00875057" w:rsidP="002B765B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875057" w:rsidRPr="00D43AB6" w:rsidTr="00AB324A">
        <w:trPr>
          <w:trHeight w:val="101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57" w:rsidRPr="00D43AB6" w:rsidRDefault="00875057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бъекты незавершенного строительства в случае, если проектируемым назначением та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ких объектов является жилой дом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057" w:rsidRPr="00D43AB6" w:rsidRDefault="00875057" w:rsidP="002B765B">
            <w:pPr>
              <w:suppressAutoHyphens w:val="0"/>
              <w:rPr>
                <w:rFonts w:eastAsia="Times New Roman"/>
                <w:szCs w:val="28"/>
                <w:lang w:eastAsia="en-US"/>
              </w:rPr>
            </w:pPr>
          </w:p>
        </w:tc>
      </w:tr>
      <w:tr w:rsidR="00875057" w:rsidRPr="00D43AB6" w:rsidTr="00AB324A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Default="00875057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057" w:rsidRPr="00D43AB6" w:rsidRDefault="00875057" w:rsidP="002B765B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875057" w:rsidRPr="00D43AB6" w:rsidTr="00AB324A">
        <w:trPr>
          <w:trHeight w:val="76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D43AB6" w:rsidRDefault="00875057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 Е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диные недвижимые комплексы, в состав которых входит хотя бы о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дно жилое помещение (жилой дом)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</w:tr>
      <w:tr w:rsidR="00875057" w:rsidRPr="00D43AB6" w:rsidTr="002B765B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057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D43AB6" w:rsidRDefault="00875057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 Гаражи и машино-места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0,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875057" w:rsidRPr="00D43AB6" w:rsidTr="00F91495">
        <w:trPr>
          <w:trHeight w:val="19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D43AB6" w:rsidRDefault="00875057" w:rsidP="00D43A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 Х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50 кв. м</w:t>
              </w:r>
            </w:smartTag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en-US"/>
              </w:rPr>
            </w:pPr>
          </w:p>
        </w:tc>
      </w:tr>
      <w:tr w:rsidR="00875057" w:rsidRPr="00D43AB6" w:rsidTr="002B765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D43AB6" w:rsidRDefault="00875057" w:rsidP="005817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бъекты налогообложения, включенные в перечень, определяемый в соответствии с </w:t>
            </w:r>
            <w:hyperlink r:id="rId8" w:history="1"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пунктом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7 ст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НК РФ, в отношении объектов 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налогообложения, предусмотренных </w:t>
            </w:r>
            <w:hyperlink r:id="rId9" w:history="1"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абз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ацем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2 п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>ункта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10 ст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057" w:rsidRPr="00D43AB6" w:rsidRDefault="00875057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ab/>
            </w:r>
          </w:p>
          <w:p w:rsidR="00875057" w:rsidRPr="00D43AB6" w:rsidRDefault="00875057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  <w:p w:rsidR="00875057" w:rsidRPr="00D43AB6" w:rsidRDefault="00875057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</w:tr>
      <w:tr w:rsidR="00875057" w:rsidRPr="00D43AB6" w:rsidTr="002B765B">
        <w:trPr>
          <w:trHeight w:val="67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057" w:rsidRPr="00D43AB6" w:rsidRDefault="00875057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бъекты налогообложения, кадастровая стоимость каждого из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которых превышает 300 млн.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en-US"/>
              </w:rPr>
            </w:pPr>
          </w:p>
        </w:tc>
      </w:tr>
      <w:tr w:rsidR="00875057" w:rsidRPr="00D43AB6" w:rsidTr="002B765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057" w:rsidRPr="00D43AB6" w:rsidRDefault="00875057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П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рочие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57" w:rsidRPr="00D43AB6" w:rsidRDefault="00875057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875057" w:rsidRPr="00BD3A4C" w:rsidRDefault="00875057" w:rsidP="00BD3A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Налоговые л</w:t>
      </w:r>
      <w:r w:rsidRPr="00737184">
        <w:rPr>
          <w:rFonts w:eastAsia="Times New Roman"/>
          <w:sz w:val="28"/>
          <w:szCs w:val="28"/>
          <w:lang w:eastAsia="ru-RU"/>
        </w:rPr>
        <w:t>ьготы,</w:t>
      </w:r>
      <w:r>
        <w:rPr>
          <w:rFonts w:eastAsia="Times New Roman"/>
          <w:sz w:val="28"/>
          <w:szCs w:val="28"/>
          <w:lang w:eastAsia="ru-RU"/>
        </w:rPr>
        <w:t xml:space="preserve"> установленные статьей 407 Налогового кодекса РФ, применяются </w:t>
      </w:r>
      <w:r w:rsidRPr="00737184">
        <w:rPr>
          <w:rFonts w:eastAsia="Times New Roman"/>
          <w:sz w:val="28"/>
          <w:szCs w:val="28"/>
          <w:lang w:eastAsia="ru-RU"/>
        </w:rPr>
        <w:t>на территории</w:t>
      </w:r>
      <w:r>
        <w:rPr>
          <w:rFonts w:eastAsia="Times New Roman"/>
          <w:sz w:val="28"/>
          <w:szCs w:val="28"/>
          <w:lang w:eastAsia="ru-RU"/>
        </w:rPr>
        <w:t xml:space="preserve"> Некрасовского сельского поселения Усть - Лабинского района</w:t>
      </w:r>
      <w:r w:rsidRPr="00737184">
        <w:rPr>
          <w:rFonts w:eastAsia="Times New Roman"/>
          <w:sz w:val="28"/>
          <w:szCs w:val="28"/>
          <w:lang w:eastAsia="ru-RU"/>
        </w:rPr>
        <w:t xml:space="preserve"> в полном объеме.</w:t>
      </w:r>
    </w:p>
    <w:p w:rsidR="00875057" w:rsidRDefault="00875057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«Сельская новь» и разместить на официальном сайте администрации Некрасовского сельского поселения  Усть- Лабинского района в информационно-телекоммуникационной сети «Интернет».</w:t>
      </w:r>
    </w:p>
    <w:p w:rsidR="00875057" w:rsidRDefault="00875057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направить в Межрайонную инспекцию Федеральной налоговой службы России №14 по Краснодарскому краю для руководства в работе.</w:t>
      </w:r>
    </w:p>
    <w:p w:rsidR="00875057" w:rsidRPr="009B7537" w:rsidRDefault="00875057" w:rsidP="0027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7537">
        <w:rPr>
          <w:sz w:val="28"/>
          <w:szCs w:val="28"/>
        </w:rPr>
        <w:t>. Признать утратившими силу:</w:t>
      </w:r>
    </w:p>
    <w:p w:rsidR="00875057" w:rsidRDefault="00875057" w:rsidP="00C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7270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Некрасовского сельского поселения Усть - Лабинского района от 17 октября 2014 года № 1 Протокол № 2 «О налоге на имущество физических лиц». </w:t>
      </w:r>
    </w:p>
    <w:p w:rsidR="00875057" w:rsidRDefault="00875057" w:rsidP="00C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Совета Некрасовского сельского поселения Усть-Лабинского района от 13 ноября 2014 года  № 3  Протокол № 3 «О внесении изменений в решение Совета  Некрасовского сельского поселения Усть-Лабинского района от 17 октября 2014 года № 1 Протокол № 2 «О налоге на имущество физических лиц» </w:t>
      </w:r>
    </w:p>
    <w:p w:rsidR="00875057" w:rsidRDefault="00875057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данного решения возложить на главу Некрасовского сельского поселения Татьяну Юрьевну Скорикову.</w:t>
      </w:r>
    </w:p>
    <w:p w:rsidR="00875057" w:rsidRDefault="00875057" w:rsidP="0061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не ранее чем по истечении одного месяца со дня его официального опубликования, но не ранее 1 января 2017 года.</w:t>
      </w:r>
    </w:p>
    <w:p w:rsidR="00875057" w:rsidRPr="00615F93" w:rsidRDefault="00875057" w:rsidP="00615F93">
      <w:pPr>
        <w:ind w:firstLine="709"/>
        <w:jc w:val="both"/>
        <w:rPr>
          <w:sz w:val="28"/>
          <w:szCs w:val="28"/>
        </w:rPr>
      </w:pPr>
    </w:p>
    <w:p w:rsidR="00875057" w:rsidRDefault="00875057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Некрасовского сельского </w:t>
      </w:r>
    </w:p>
    <w:p w:rsidR="00875057" w:rsidRDefault="00875057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поселения  Усть - Лабинского района                                       Т.Ю.Скорикова</w:t>
      </w:r>
    </w:p>
    <w:p w:rsidR="00875057" w:rsidRDefault="00875057" w:rsidP="00F91495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5057" w:rsidRDefault="00875057" w:rsidP="00F91495">
      <w:pPr>
        <w:tabs>
          <w:tab w:val="left" w:pos="1260"/>
        </w:tabs>
        <w:rPr>
          <w:sz w:val="28"/>
          <w:szCs w:val="28"/>
        </w:rPr>
      </w:pPr>
    </w:p>
    <w:p w:rsidR="00875057" w:rsidRDefault="00875057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Некрасовского сельского</w:t>
      </w:r>
    </w:p>
    <w:p w:rsidR="00875057" w:rsidRPr="00311E92" w:rsidRDefault="00875057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Усть – Лабинского района                                       Н.И.Вдовиченко                                   </w:t>
      </w:r>
    </w:p>
    <w:sectPr w:rsidR="00875057" w:rsidRPr="00311E92" w:rsidSect="008865F0">
      <w:headerReference w:type="default" r:id="rId10"/>
      <w:pgSz w:w="11906" w:h="16838"/>
      <w:pgMar w:top="0" w:right="567" w:bottom="381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57" w:rsidRDefault="00875057" w:rsidP="00D94512">
      <w:r>
        <w:separator/>
      </w:r>
    </w:p>
  </w:endnote>
  <w:endnote w:type="continuationSeparator" w:id="0">
    <w:p w:rsidR="00875057" w:rsidRDefault="00875057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57" w:rsidRDefault="00875057" w:rsidP="00D94512">
      <w:r>
        <w:separator/>
      </w:r>
    </w:p>
  </w:footnote>
  <w:footnote w:type="continuationSeparator" w:id="0">
    <w:p w:rsidR="00875057" w:rsidRDefault="00875057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57" w:rsidRPr="0083030D" w:rsidRDefault="00875057">
    <w:pPr>
      <w:pStyle w:val="Header"/>
      <w:jc w:val="center"/>
      <w:rPr>
        <w:sz w:val="28"/>
      </w:rPr>
    </w:pPr>
    <w:r w:rsidRPr="0083030D">
      <w:rPr>
        <w:sz w:val="28"/>
      </w:rPr>
      <w:fldChar w:fldCharType="begin"/>
    </w:r>
    <w:r w:rsidRPr="0083030D">
      <w:rPr>
        <w:sz w:val="28"/>
      </w:rPr>
      <w:instrText>PAGE   \* MERGEFORMAT</w:instrText>
    </w:r>
    <w:r w:rsidRPr="0083030D">
      <w:rPr>
        <w:sz w:val="28"/>
      </w:rPr>
      <w:fldChar w:fldCharType="separate"/>
    </w:r>
    <w:r>
      <w:rPr>
        <w:noProof/>
        <w:sz w:val="28"/>
      </w:rPr>
      <w:t>2</w:t>
    </w:r>
    <w:r w:rsidRPr="0083030D">
      <w:rPr>
        <w:sz w:val="28"/>
      </w:rPr>
      <w:fldChar w:fldCharType="end"/>
    </w:r>
  </w:p>
  <w:p w:rsidR="00875057" w:rsidRPr="0083030D" w:rsidRDefault="00875057" w:rsidP="001F7A3F">
    <w:pPr>
      <w:pStyle w:val="Header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CC3"/>
    <w:rsid w:val="000002C8"/>
    <w:rsid w:val="00004FE2"/>
    <w:rsid w:val="00032148"/>
    <w:rsid w:val="00040C41"/>
    <w:rsid w:val="0004160B"/>
    <w:rsid w:val="00055D43"/>
    <w:rsid w:val="0006091B"/>
    <w:rsid w:val="00060CF9"/>
    <w:rsid w:val="00064352"/>
    <w:rsid w:val="0007270D"/>
    <w:rsid w:val="00073992"/>
    <w:rsid w:val="00073D9A"/>
    <w:rsid w:val="00080710"/>
    <w:rsid w:val="00085D86"/>
    <w:rsid w:val="000B1A09"/>
    <w:rsid w:val="000B3748"/>
    <w:rsid w:val="000B7681"/>
    <w:rsid w:val="000C3798"/>
    <w:rsid w:val="000C783C"/>
    <w:rsid w:val="000E0D2D"/>
    <w:rsid w:val="000E1893"/>
    <w:rsid w:val="000F3329"/>
    <w:rsid w:val="000F6E36"/>
    <w:rsid w:val="000F6FBF"/>
    <w:rsid w:val="001020C6"/>
    <w:rsid w:val="00103A08"/>
    <w:rsid w:val="00106325"/>
    <w:rsid w:val="0012667A"/>
    <w:rsid w:val="0013370A"/>
    <w:rsid w:val="00141E43"/>
    <w:rsid w:val="001427E2"/>
    <w:rsid w:val="0014394E"/>
    <w:rsid w:val="001632AF"/>
    <w:rsid w:val="00163899"/>
    <w:rsid w:val="0016488B"/>
    <w:rsid w:val="001A19AA"/>
    <w:rsid w:val="001C5582"/>
    <w:rsid w:val="001D3E80"/>
    <w:rsid w:val="001F7A3F"/>
    <w:rsid w:val="002073FA"/>
    <w:rsid w:val="00222B76"/>
    <w:rsid w:val="0023290B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4C03"/>
    <w:rsid w:val="002B765B"/>
    <w:rsid w:val="002E1F3D"/>
    <w:rsid w:val="002E5CC3"/>
    <w:rsid w:val="002E72BB"/>
    <w:rsid w:val="00307F66"/>
    <w:rsid w:val="00311E92"/>
    <w:rsid w:val="00315FDE"/>
    <w:rsid w:val="003220BC"/>
    <w:rsid w:val="00324E18"/>
    <w:rsid w:val="00325E23"/>
    <w:rsid w:val="00360072"/>
    <w:rsid w:val="00380EA7"/>
    <w:rsid w:val="00386CA6"/>
    <w:rsid w:val="00396AB3"/>
    <w:rsid w:val="003A7831"/>
    <w:rsid w:val="003B1661"/>
    <w:rsid w:val="003B54E6"/>
    <w:rsid w:val="003E78FF"/>
    <w:rsid w:val="00401BF5"/>
    <w:rsid w:val="004204F3"/>
    <w:rsid w:val="00433BAB"/>
    <w:rsid w:val="00440558"/>
    <w:rsid w:val="004471A9"/>
    <w:rsid w:val="00450172"/>
    <w:rsid w:val="00461EC9"/>
    <w:rsid w:val="00471656"/>
    <w:rsid w:val="004750E3"/>
    <w:rsid w:val="004A1818"/>
    <w:rsid w:val="004A5D0C"/>
    <w:rsid w:val="004A7A31"/>
    <w:rsid w:val="004C6A9A"/>
    <w:rsid w:val="004E2226"/>
    <w:rsid w:val="004F3C7A"/>
    <w:rsid w:val="004F7D71"/>
    <w:rsid w:val="00507F84"/>
    <w:rsid w:val="0052724C"/>
    <w:rsid w:val="005277DB"/>
    <w:rsid w:val="005401CD"/>
    <w:rsid w:val="00546380"/>
    <w:rsid w:val="00556288"/>
    <w:rsid w:val="005816C3"/>
    <w:rsid w:val="0058170F"/>
    <w:rsid w:val="005907A1"/>
    <w:rsid w:val="005A0BDA"/>
    <w:rsid w:val="005A5D0E"/>
    <w:rsid w:val="005B176E"/>
    <w:rsid w:val="005B4604"/>
    <w:rsid w:val="005B6AD9"/>
    <w:rsid w:val="005C1C2F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15F93"/>
    <w:rsid w:val="006259C2"/>
    <w:rsid w:val="00640972"/>
    <w:rsid w:val="006457E1"/>
    <w:rsid w:val="00653F71"/>
    <w:rsid w:val="0066396C"/>
    <w:rsid w:val="006760ED"/>
    <w:rsid w:val="00684618"/>
    <w:rsid w:val="00687A46"/>
    <w:rsid w:val="006945B5"/>
    <w:rsid w:val="006D49B6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5291"/>
    <w:rsid w:val="007852F2"/>
    <w:rsid w:val="00785CCA"/>
    <w:rsid w:val="007A34B2"/>
    <w:rsid w:val="007A3A1F"/>
    <w:rsid w:val="007B51CA"/>
    <w:rsid w:val="007D360D"/>
    <w:rsid w:val="007E116D"/>
    <w:rsid w:val="007E227F"/>
    <w:rsid w:val="008030F4"/>
    <w:rsid w:val="0080330D"/>
    <w:rsid w:val="00803772"/>
    <w:rsid w:val="008103B1"/>
    <w:rsid w:val="00810704"/>
    <w:rsid w:val="0081479E"/>
    <w:rsid w:val="008214AD"/>
    <w:rsid w:val="00827A58"/>
    <w:rsid w:val="0083030D"/>
    <w:rsid w:val="00830A47"/>
    <w:rsid w:val="00843AA1"/>
    <w:rsid w:val="00857041"/>
    <w:rsid w:val="008659DD"/>
    <w:rsid w:val="00875057"/>
    <w:rsid w:val="00882109"/>
    <w:rsid w:val="00882C2A"/>
    <w:rsid w:val="008865F0"/>
    <w:rsid w:val="008873A9"/>
    <w:rsid w:val="008A74FA"/>
    <w:rsid w:val="008B2AB2"/>
    <w:rsid w:val="008B38E7"/>
    <w:rsid w:val="008D2838"/>
    <w:rsid w:val="008D4BE2"/>
    <w:rsid w:val="00903804"/>
    <w:rsid w:val="009100FD"/>
    <w:rsid w:val="00915AFC"/>
    <w:rsid w:val="00922491"/>
    <w:rsid w:val="009238AF"/>
    <w:rsid w:val="009244D2"/>
    <w:rsid w:val="00931C99"/>
    <w:rsid w:val="00933203"/>
    <w:rsid w:val="009601D5"/>
    <w:rsid w:val="00963D51"/>
    <w:rsid w:val="00982A82"/>
    <w:rsid w:val="00984F60"/>
    <w:rsid w:val="00992AC0"/>
    <w:rsid w:val="009B599F"/>
    <w:rsid w:val="009B7537"/>
    <w:rsid w:val="009D0E61"/>
    <w:rsid w:val="009D39E4"/>
    <w:rsid w:val="009E0BB2"/>
    <w:rsid w:val="009E267A"/>
    <w:rsid w:val="009F4CFB"/>
    <w:rsid w:val="009F5D5C"/>
    <w:rsid w:val="00A00DC7"/>
    <w:rsid w:val="00A1419A"/>
    <w:rsid w:val="00A36194"/>
    <w:rsid w:val="00A53733"/>
    <w:rsid w:val="00A71B9D"/>
    <w:rsid w:val="00A76D7C"/>
    <w:rsid w:val="00A8616C"/>
    <w:rsid w:val="00AA6EEA"/>
    <w:rsid w:val="00AB30E1"/>
    <w:rsid w:val="00AB324A"/>
    <w:rsid w:val="00AC09EC"/>
    <w:rsid w:val="00AD7D76"/>
    <w:rsid w:val="00AE7D60"/>
    <w:rsid w:val="00B01DD2"/>
    <w:rsid w:val="00B16E69"/>
    <w:rsid w:val="00B21B01"/>
    <w:rsid w:val="00B23DA8"/>
    <w:rsid w:val="00B27B95"/>
    <w:rsid w:val="00B350FB"/>
    <w:rsid w:val="00B40633"/>
    <w:rsid w:val="00B408AD"/>
    <w:rsid w:val="00B41BB6"/>
    <w:rsid w:val="00B44453"/>
    <w:rsid w:val="00B465F1"/>
    <w:rsid w:val="00B60F64"/>
    <w:rsid w:val="00B71F28"/>
    <w:rsid w:val="00B74116"/>
    <w:rsid w:val="00B7741A"/>
    <w:rsid w:val="00B80ACD"/>
    <w:rsid w:val="00B93AFC"/>
    <w:rsid w:val="00B9582D"/>
    <w:rsid w:val="00BA4FA5"/>
    <w:rsid w:val="00BD3A4C"/>
    <w:rsid w:val="00BD6A33"/>
    <w:rsid w:val="00BE5661"/>
    <w:rsid w:val="00BE608C"/>
    <w:rsid w:val="00BF2BB7"/>
    <w:rsid w:val="00BF37BA"/>
    <w:rsid w:val="00C04A71"/>
    <w:rsid w:val="00C07F09"/>
    <w:rsid w:val="00C12E84"/>
    <w:rsid w:val="00C170B9"/>
    <w:rsid w:val="00C25CA6"/>
    <w:rsid w:val="00C43617"/>
    <w:rsid w:val="00C476EC"/>
    <w:rsid w:val="00C52B4A"/>
    <w:rsid w:val="00C54435"/>
    <w:rsid w:val="00C72F14"/>
    <w:rsid w:val="00C7514A"/>
    <w:rsid w:val="00C8536C"/>
    <w:rsid w:val="00C925C6"/>
    <w:rsid w:val="00CB7D4F"/>
    <w:rsid w:val="00CC1AFB"/>
    <w:rsid w:val="00CC6E62"/>
    <w:rsid w:val="00CD4672"/>
    <w:rsid w:val="00CD63C5"/>
    <w:rsid w:val="00CE333F"/>
    <w:rsid w:val="00CE4BBF"/>
    <w:rsid w:val="00D02512"/>
    <w:rsid w:val="00D14965"/>
    <w:rsid w:val="00D20E11"/>
    <w:rsid w:val="00D24FE9"/>
    <w:rsid w:val="00D43AB6"/>
    <w:rsid w:val="00D4572B"/>
    <w:rsid w:val="00D5595E"/>
    <w:rsid w:val="00D6479E"/>
    <w:rsid w:val="00D805BD"/>
    <w:rsid w:val="00D8148E"/>
    <w:rsid w:val="00D85A3C"/>
    <w:rsid w:val="00D94512"/>
    <w:rsid w:val="00DA65E3"/>
    <w:rsid w:val="00DB0A54"/>
    <w:rsid w:val="00E11DC0"/>
    <w:rsid w:val="00E13A3F"/>
    <w:rsid w:val="00E1434E"/>
    <w:rsid w:val="00E26DA0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86D31"/>
    <w:rsid w:val="00E90568"/>
    <w:rsid w:val="00E94093"/>
    <w:rsid w:val="00EA0FA1"/>
    <w:rsid w:val="00EB0467"/>
    <w:rsid w:val="00EB1E24"/>
    <w:rsid w:val="00EB4BE6"/>
    <w:rsid w:val="00EC3D18"/>
    <w:rsid w:val="00EC7D50"/>
    <w:rsid w:val="00EF2CD6"/>
    <w:rsid w:val="00EF696F"/>
    <w:rsid w:val="00F07AE9"/>
    <w:rsid w:val="00F44235"/>
    <w:rsid w:val="00F47AAC"/>
    <w:rsid w:val="00F54353"/>
    <w:rsid w:val="00F655FF"/>
    <w:rsid w:val="00F66509"/>
    <w:rsid w:val="00F66726"/>
    <w:rsid w:val="00F671E7"/>
    <w:rsid w:val="00F7685F"/>
    <w:rsid w:val="00F8502E"/>
    <w:rsid w:val="00F8723C"/>
    <w:rsid w:val="00F872DE"/>
    <w:rsid w:val="00F877DF"/>
    <w:rsid w:val="00F91495"/>
    <w:rsid w:val="00F91B69"/>
    <w:rsid w:val="00FD070E"/>
    <w:rsid w:val="00FD2061"/>
    <w:rsid w:val="00FD42BE"/>
    <w:rsid w:val="00FE0053"/>
    <w:rsid w:val="00FE48B9"/>
    <w:rsid w:val="00FF28D2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3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7DF"/>
    <w:rPr>
      <w:rFonts w:eastAsia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50E3"/>
    <w:rPr>
      <w:rFonts w:ascii="Courier New" w:hAnsi="Courier New" w:cs="Times New Roman"/>
      <w:sz w:val="20"/>
      <w:lang w:eastAsia="ru-RU"/>
    </w:rPr>
  </w:style>
  <w:style w:type="paragraph" w:customStyle="1" w:styleId="1">
    <w:name w:val="Текст1"/>
    <w:basedOn w:val="Normal"/>
    <w:uiPriority w:val="99"/>
    <w:rsid w:val="004750E3"/>
    <w:rPr>
      <w:rFonts w:ascii="Courier New" w:eastAsia="Times New Roman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0E3"/>
    <w:rPr>
      <w:rFonts w:ascii="Tahoma" w:eastAsia="SimSun" w:hAnsi="Tahoma" w:cs="Tahoma"/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1CD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872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Caption">
    <w:name w:val="caption"/>
    <w:basedOn w:val="Normal"/>
    <w:uiPriority w:val="99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512"/>
    <w:rPr>
      <w:rFonts w:eastAsia="SimSu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512"/>
    <w:rPr>
      <w:rFonts w:eastAsia="SimSu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5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047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1512</TotalTime>
  <Pages>2</Pages>
  <Words>668</Words>
  <Characters>3809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Мищенко Людмила</cp:lastModifiedBy>
  <cp:revision>151</cp:revision>
  <cp:lastPrinted>2016-11-01T05:01:00Z</cp:lastPrinted>
  <dcterms:created xsi:type="dcterms:W3CDTF">2012-02-10T08:03:00Z</dcterms:created>
  <dcterms:modified xsi:type="dcterms:W3CDTF">2016-11-01T05:02:00Z</dcterms:modified>
</cp:coreProperties>
</file>